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rsidR="00161D58" w:rsidRPr="00347DC3" w:rsidRDefault="004A37A4" w:rsidP="00161D58">
      <w:pPr>
        <w:pStyle w:val="Heading1"/>
        <w:rPr>
          <w:lang w:val="en-US"/>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Pr>
          <w:lang w:val="en-US"/>
        </w:rPr>
        <w:t>West Block Exterior Lighting</w:t>
      </w:r>
      <w:bookmarkStart w:id="16" w:name="_GoBack"/>
      <w:bookmarkEnd w:id="16"/>
      <w:r w:rsidR="00161D58" w:rsidRPr="00347DC3">
        <w:rPr>
          <w:lang w:val="en-US"/>
        </w:rPr>
        <w:t xml:space="preserve"> – Public Comments Invited</w:t>
      </w:r>
      <w:bookmarkEnd w:id="8"/>
      <w:bookmarkEnd w:id="9"/>
      <w:bookmarkEnd w:id="10"/>
      <w:bookmarkEnd w:id="11"/>
      <w:bookmarkEnd w:id="12"/>
      <w:bookmarkEnd w:id="13"/>
      <w:bookmarkEnd w:id="14"/>
      <w:bookmarkEnd w:id="15"/>
    </w:p>
    <w:p w:rsidR="00161D58" w:rsidRPr="00347DC3" w:rsidRDefault="004F5BED" w:rsidP="00161D58">
      <w:pPr>
        <w:rPr>
          <w:lang w:val="en-US"/>
        </w:rPr>
      </w:pPr>
      <w:r>
        <w:rPr>
          <w:b/>
          <w:lang w:val="en-US"/>
        </w:rPr>
        <w:t>April 1, 2021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 </w:t>
      </w:r>
      <w:r w:rsidRPr="004F5BED">
        <w:rPr>
          <w:lang w:val="en-US"/>
        </w:rPr>
        <w:t>West Block Exterior Lighting</w:t>
      </w:r>
      <w:r>
        <w:rPr>
          <w:lang w:val="en-US"/>
        </w:rPr>
        <w:t>,</w:t>
      </w:r>
      <w:r w:rsidRPr="004F5BED">
        <w:rPr>
          <w:lang w:val="en-US"/>
        </w:rPr>
        <w:t xml:space="preserve"> </w:t>
      </w:r>
      <w:r w:rsidR="00161D58" w:rsidRPr="00347DC3">
        <w:rPr>
          <w:lang w:val="en-US"/>
        </w:rPr>
        <w:t xml:space="preserve">located in </w:t>
      </w:r>
      <w:r>
        <w:rPr>
          <w:lang w:val="en-US"/>
        </w:rPr>
        <w:t xml:space="preserve">Ottawa, Ontario </w:t>
      </w:r>
      <w:r w:rsidR="00161D58" w:rsidRPr="00347DC3">
        <w:rPr>
          <w:lang w:val="en-US"/>
        </w:rPr>
        <w:t>is likely to cause significant adverse environmental effects.</w:t>
      </w:r>
    </w:p>
    <w:p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4F5BED">
        <w:rPr>
          <w:b/>
          <w:lang w:val="en-US"/>
        </w:rPr>
        <w:t>May 1, 2021</w:t>
      </w:r>
      <w:r w:rsidRPr="00347DC3">
        <w:rPr>
          <w:b/>
          <w:lang w:val="en-US"/>
        </w:rPr>
        <w:t xml:space="preserve"> </w:t>
      </w:r>
      <w:r w:rsidRPr="00347DC3">
        <w:rPr>
          <w:lang w:val="en-US"/>
        </w:rPr>
        <w:t>to:</w:t>
      </w:r>
    </w:p>
    <w:p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rsidR="00161D58" w:rsidRPr="00347DC3" w:rsidRDefault="00161D58" w:rsidP="00161D58">
      <w:pPr>
        <w:pStyle w:val="Heading2"/>
        <w:numPr>
          <w:ilvl w:val="0"/>
          <w:numId w:val="0"/>
        </w:numPr>
        <w:rPr>
          <w:lang w:val="en-US"/>
        </w:rPr>
      </w:pPr>
      <w:bookmarkStart w:id="17" w:name="_Toc13819791"/>
      <w:bookmarkStart w:id="18" w:name="_Toc13823193"/>
      <w:bookmarkStart w:id="19" w:name="_Toc14963754"/>
      <w:bookmarkStart w:id="20" w:name="_Toc14966152"/>
      <w:bookmarkStart w:id="21" w:name="_Toc14966202"/>
      <w:bookmarkStart w:id="22" w:name="_Toc15075291"/>
      <w:bookmarkStart w:id="23" w:name="_Toc16779904"/>
      <w:bookmarkStart w:id="24" w:name="_Toc16780306"/>
      <w:r w:rsidRPr="00347DC3">
        <w:rPr>
          <w:lang w:val="en-US"/>
        </w:rPr>
        <w:t>The Proposed Project</w:t>
      </w:r>
      <w:bookmarkEnd w:id="17"/>
      <w:bookmarkEnd w:id="18"/>
      <w:bookmarkEnd w:id="19"/>
      <w:bookmarkEnd w:id="20"/>
      <w:bookmarkEnd w:id="21"/>
      <w:bookmarkEnd w:id="22"/>
      <w:bookmarkEnd w:id="23"/>
      <w:bookmarkEnd w:id="24"/>
    </w:p>
    <w:p w:rsidR="004F5BED" w:rsidRPr="004F5BED" w:rsidRDefault="004F5BED" w:rsidP="004F5BED">
      <w:pPr>
        <w:rPr>
          <w:lang w:val="en-US"/>
        </w:rPr>
      </w:pPr>
      <w:r w:rsidRPr="004F5BED">
        <w:rPr>
          <w:lang w:val="en-US"/>
        </w:rPr>
        <w:t xml:space="preserve">The West Block, along with the Centre and East Blocks, is part of the core of Canada's Parliamentary Precinct. It's located on the western side of Parliament Hill, which is adjacent to the Ottawa River. The West Block has been restored and modernized in 2018 and now hosts Canada's members of Parliament in its interim House of Commons Chamber. </w:t>
      </w:r>
    </w:p>
    <w:p w:rsidR="004F5BED" w:rsidRPr="004F5BED" w:rsidRDefault="004F5BED" w:rsidP="004F5BED">
      <w:pPr>
        <w:rPr>
          <w:lang w:val="en-US"/>
        </w:rPr>
      </w:pPr>
    </w:p>
    <w:p w:rsidR="0003011E" w:rsidRPr="004F5BED" w:rsidRDefault="004F5BED" w:rsidP="004F5BED">
      <w:r w:rsidRPr="004F5BED">
        <w:rPr>
          <w:lang w:val="en-US"/>
        </w:rPr>
        <w:t xml:space="preserve">The purpose of the West Block Exterior Lighting Project is to improve night-time building illumination, using long-lasting, </w:t>
      </w:r>
      <w:proofErr w:type="gramStart"/>
      <w:r w:rsidRPr="004F5BED">
        <w:rPr>
          <w:lang w:val="en-US"/>
        </w:rPr>
        <w:t>energy efficient LED (light-emitting</w:t>
      </w:r>
      <w:proofErr w:type="gramEnd"/>
      <w:r w:rsidRPr="004F5BED">
        <w:rPr>
          <w:lang w:val="en-US"/>
        </w:rPr>
        <w:t xml:space="preserve"> diode) lighting. The new lighting will be provided from a combination of new lighting fixtures in the landscape around the building perimeter and new lighting fixtures discretely mounted to the building while respecting the buildings heritage characteristics.</w:t>
      </w:r>
    </w:p>
    <w:sectPr w:rsidR="0003011E" w:rsidRPr="004F5B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58"/>
    <w:rsid w:val="00161D58"/>
    <w:rsid w:val="00371E43"/>
    <w:rsid w:val="004A37A4"/>
    <w:rsid w:val="004F5BED"/>
    <w:rsid w:val="007429ED"/>
    <w:rsid w:val="00A019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17451">
      <w:bodyDiv w:val="1"/>
      <w:marLeft w:val="0"/>
      <w:marRight w:val="0"/>
      <w:marTop w:val="0"/>
      <w:marBottom w:val="0"/>
      <w:divBdr>
        <w:top w:val="none" w:sz="0" w:space="0" w:color="auto"/>
        <w:left w:val="none" w:sz="0" w:space="0" w:color="auto"/>
        <w:bottom w:val="none" w:sz="0" w:space="0" w:color="auto"/>
        <w:right w:val="none" w:sz="0" w:space="0" w:color="auto"/>
      </w:divBdr>
    </w:div>
    <w:div w:id="19202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3</cp:revision>
  <dcterms:created xsi:type="dcterms:W3CDTF">2021-04-01T20:52:00Z</dcterms:created>
  <dcterms:modified xsi:type="dcterms:W3CDTF">2021-04-01T20:53:00Z</dcterms:modified>
</cp:coreProperties>
</file>